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734693765" w:edGrp="everyone"/>
              <w:r w:rsidR="00E207AC">
                <w:rPr>
                  <w:rFonts w:asciiTheme="majorHAnsi" w:hAnsiTheme="majorHAnsi"/>
                  <w:sz w:val="20"/>
                  <w:szCs w:val="20"/>
                </w:rPr>
                <w:t>FA18</w:t>
              </w:r>
              <w:permEnd w:id="1734693765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939176208" w:edGrp="everyone"/>
    <w:p w:rsidR="00AF3758" w:rsidRPr="00592A95" w:rsidRDefault="002C2F6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93917620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780513529" w:edGrp="everyone"/>
    <w:p w:rsidR="001F5E9E" w:rsidRPr="001F5E9E" w:rsidRDefault="002C2F6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78051352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B4186A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C2F6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05920602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0592060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17002649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1700264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2C2F69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72630503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630503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555666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5556662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C2F6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59475792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9475792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886071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8860710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2C2F6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3201411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201411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055361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0553614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C2F6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41066649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1066649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9455903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9455903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2C2F6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59765388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9765388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3109322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3109322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C2F6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49023728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90237288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1731434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1731434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2C2F6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68F95C10A49D4D7DB9741D5EE4FEC69A"/>
                    </w:placeholder>
                    <w:showingPlcHdr/>
                  </w:sdtPr>
                  <w:sdtEndPr/>
                  <w:sdtContent>
                    <w:permStart w:id="195522421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522421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3AADE52CAFF4289A08763C5CFC05DD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128945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128945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2C2F6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68263722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8263722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5384651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53846513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598694647" w:edGrp="everyone" w:displacedByCustomXml="prev"/>
        <w:p w:rsidR="006E6FEC" w:rsidRDefault="00B4186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FB1E04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870.972.3050</w:t>
          </w:r>
        </w:p>
        <w:permEnd w:id="1598694647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687377591" w:edGrp="everyone" w:displacedByCustomXml="prev"/>
        <w:p w:rsidR="002E3FC9" w:rsidRDefault="00B4186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Repair typos to ART 2583, ART 2593,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ART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2423 courses.</w:t>
          </w:r>
        </w:p>
        <w:permEnd w:id="1687377591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994712605" w:edGrp="everyone" w:displacedByCustomXml="prev"/>
        <w:p w:rsidR="002E3FC9" w:rsidRDefault="00B4186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2013</w:t>
          </w:r>
        </w:p>
        <w:permEnd w:id="994712605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027689298" w:edGrp="everyone" w:displacedByCustomXml="prev"/>
        <w:p w:rsidR="002E3FC9" w:rsidRDefault="00B4186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These are grammatical errors thought to have been completed when ART changed to ARTH and the graphic design program changed it’s titles form I, II, III to a more descriptive set of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titles.r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ermEnd w:id="1027689298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425556073" w:edGrp="everyone" w:displacedByCustomXml="prev"/>
        <w:p w:rsidR="00B4186A" w:rsidRDefault="00B4186A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4186A" w:rsidRDefault="00B4186A">
          <w:pPr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br w:type="page"/>
          </w:r>
        </w:p>
        <w:p w:rsidR="00B4186A" w:rsidRPr="009953CE" w:rsidRDefault="00B4186A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9953CE">
            <w:rPr>
              <w:rFonts w:asciiTheme="majorHAnsi" w:hAnsiTheme="majorHAnsi" w:cs="Arial"/>
              <w:b/>
              <w:sz w:val="20"/>
              <w:szCs w:val="20"/>
            </w:rPr>
            <w:lastRenderedPageBreak/>
            <w:t>2012-2013 ASU – J Undergraduate Bulletin, Page 459</w:t>
          </w:r>
        </w:p>
        <w:p w:rsidR="00B4186A" w:rsidRDefault="00B4186A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4186A" w:rsidRDefault="00B4186A">
          <w:pPr>
            <w:pStyle w:val="Pa380"/>
            <w:spacing w:after="260"/>
            <w:ind w:left="360" w:hanging="360"/>
            <w:jc w:val="both"/>
            <w:rPr>
              <w:rFonts w:cs="Book Antiqua"/>
              <w:color w:val="000000"/>
              <w:sz w:val="23"/>
              <w:szCs w:val="23"/>
            </w:rPr>
          </w:pPr>
          <w:r>
            <w:rPr>
              <w:rFonts w:cs="Book Antiqua"/>
              <w:b/>
              <w:bCs/>
              <w:color w:val="000000"/>
              <w:sz w:val="23"/>
              <w:szCs w:val="23"/>
            </w:rPr>
            <w:t xml:space="preserve">Art History (ARTH) </w:t>
          </w:r>
        </w:p>
        <w:p w:rsidR="00B4186A" w:rsidRDefault="00B4186A">
          <w:pPr>
            <w:pStyle w:val="Pa381"/>
            <w:spacing w:after="14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2583. Survey of Art History I </w:t>
          </w:r>
          <w:r>
            <w:rPr>
              <w:rStyle w:val="A1"/>
            </w:rPr>
            <w:t xml:space="preserve">General investigation of the historical development of art from prehistoric periods to the Renaissance.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:rsidR="00B4186A" w:rsidRDefault="00B4186A">
          <w:pPr>
            <w:pStyle w:val="Pa381"/>
            <w:spacing w:after="14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2593. Survey of Art History II </w:t>
          </w:r>
          <w:r>
            <w:rPr>
              <w:rStyle w:val="A1"/>
            </w:rPr>
            <w:t xml:space="preserve">Continuation of </w:t>
          </w:r>
          <w:r w:rsidRPr="00B4186A">
            <w:rPr>
              <w:rStyle w:val="A1"/>
              <w:strike/>
              <w:color w:val="FF0000"/>
            </w:rPr>
            <w:t xml:space="preserve">ART </w:t>
          </w:r>
          <w:proofErr w:type="gramStart"/>
          <w:r w:rsidRPr="00B4186A">
            <w:rPr>
              <w:rStyle w:val="A1"/>
              <w:strike/>
              <w:color w:val="FF0000"/>
            </w:rPr>
            <w:t>2583</w:t>
          </w:r>
          <w:r>
            <w:rPr>
              <w:rStyle w:val="A1"/>
              <w:strike/>
              <w:color w:val="FF0000"/>
            </w:rPr>
            <w:t xml:space="preserve">  </w:t>
          </w:r>
          <w:r w:rsidRPr="00B4186A">
            <w:rPr>
              <w:rStyle w:val="A1"/>
              <w:b/>
              <w:color w:val="FF0000"/>
              <w:sz w:val="24"/>
              <w:szCs w:val="24"/>
            </w:rPr>
            <w:t>ARTH</w:t>
          </w:r>
          <w:proofErr w:type="gramEnd"/>
          <w:r w:rsidRPr="00B4186A">
            <w:rPr>
              <w:rStyle w:val="A1"/>
              <w:b/>
              <w:color w:val="FF0000"/>
              <w:sz w:val="24"/>
              <w:szCs w:val="24"/>
            </w:rPr>
            <w:t xml:space="preserve"> 2583</w:t>
          </w:r>
          <w:r>
            <w:rPr>
              <w:rStyle w:val="A1"/>
            </w:rPr>
            <w:t xml:space="preserve">, covering the period from the Renaissance to the Modern period.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:rsidR="00B4186A" w:rsidRDefault="00B4186A">
          <w:pPr>
            <w:pStyle w:val="Pa396"/>
            <w:spacing w:after="140"/>
            <w:ind w:left="360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430V. Studies in Art History </w:t>
          </w:r>
          <w:r>
            <w:rPr>
              <w:rStyle w:val="A1"/>
            </w:rPr>
            <w:t xml:space="preserve">Individual directed study and investigation of pertinent areas in the history of art. </w:t>
          </w:r>
          <w:proofErr w:type="gramStart"/>
          <w:r>
            <w:rPr>
              <w:rStyle w:val="A1"/>
            </w:rPr>
            <w:t>Prerequisites, ARTH 2583 and ARTH 2593 or permission of instructor.</w:t>
          </w:r>
          <w:proofErr w:type="gramEnd"/>
          <w:r>
            <w:rPr>
              <w:rStyle w:val="A1"/>
            </w:rPr>
            <w:t xml:space="preserve"> May be repeated. This course is dual listed ARTH 530V. Demand. </w:t>
          </w:r>
        </w:p>
        <w:p w:rsidR="00B4186A" w:rsidRDefault="00B4186A">
          <w:pPr>
            <w:pStyle w:val="Pa396"/>
            <w:spacing w:after="140"/>
            <w:ind w:left="360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4443. 19th Century European Art </w:t>
          </w:r>
          <w:r>
            <w:rPr>
              <w:rStyle w:val="A1"/>
            </w:rPr>
            <w:t xml:space="preserve">This course examines major artists and works of art in Europe from the beginning of the French Revolution to the end of the nineteenth century. </w:t>
          </w:r>
          <w:proofErr w:type="gramStart"/>
          <w:r>
            <w:rPr>
              <w:rStyle w:val="A1"/>
            </w:rPr>
            <w:t>Prerequisites, ARTH 2583 and ARTH 2593 or permission of Instructor.</w:t>
          </w:r>
          <w:proofErr w:type="gramEnd"/>
          <w:r>
            <w:rPr>
              <w:rStyle w:val="A1"/>
            </w:rPr>
            <w:t xml:space="preserve"> This course is dual listed ARTH 5443. Fall even. </w:t>
          </w:r>
        </w:p>
        <w:p w:rsidR="00B4186A" w:rsidRDefault="00B4186A">
          <w:pPr>
            <w:pStyle w:val="Pa396"/>
            <w:spacing w:after="140"/>
            <w:ind w:left="360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4503. History of Photography </w:t>
          </w:r>
          <w:r>
            <w:rPr>
              <w:rStyle w:val="A1"/>
            </w:rPr>
            <w:t xml:space="preserve">History, aesthetics, and appreciation of photography. </w:t>
          </w:r>
          <w:proofErr w:type="gramStart"/>
          <w:r>
            <w:rPr>
              <w:rStyle w:val="A1"/>
            </w:rPr>
            <w:t>Prerequisites, ARTH 2583 and ARTH 2593 or permission of instructor.</w:t>
          </w:r>
          <w:proofErr w:type="gramEnd"/>
          <w:r>
            <w:rPr>
              <w:rStyle w:val="A1"/>
            </w:rPr>
            <w:t xml:space="preserve"> This course is dual listed ARTH 5503. Spring, even. </w:t>
          </w:r>
        </w:p>
        <w:p w:rsidR="00B4186A" w:rsidRDefault="00B4186A">
          <w:pPr>
            <w:pStyle w:val="Pa396"/>
            <w:spacing w:after="140"/>
            <w:ind w:left="360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4513. Methodology in the History and Criticism of Art </w:t>
          </w:r>
          <w:r>
            <w:rPr>
              <w:rStyle w:val="A1"/>
            </w:rPr>
            <w:t xml:space="preserve">Directed research methods for students of the visual arts. Written reports and oral presentations concerning both methodology and results of research. </w:t>
          </w:r>
          <w:proofErr w:type="gramStart"/>
          <w:r>
            <w:rPr>
              <w:rStyle w:val="A1"/>
            </w:rPr>
            <w:t>Prerequisites, ARTH 2583 and ARTH 2593 or permission of instructor.</w:t>
          </w:r>
          <w:proofErr w:type="gramEnd"/>
          <w:r>
            <w:rPr>
              <w:rStyle w:val="A1"/>
            </w:rPr>
            <w:t xml:space="preserve"> This course is dual listed ARTH 5513. Spring, even. </w:t>
          </w:r>
        </w:p>
        <w:p w:rsidR="00B4186A" w:rsidRDefault="00B4186A">
          <w:pPr>
            <w:pStyle w:val="Pa396"/>
            <w:spacing w:after="140"/>
            <w:ind w:left="360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4533. </w:t>
          </w:r>
          <w:proofErr w:type="gramStart"/>
          <w:r>
            <w:rPr>
              <w:rStyle w:val="A1"/>
              <w:b/>
              <w:bCs/>
            </w:rPr>
            <w:t xml:space="preserve">Renaissance Art History </w:t>
          </w:r>
          <w:r>
            <w:rPr>
              <w:rStyle w:val="A1"/>
            </w:rPr>
            <w:t>Artists, styles, and development of art during the Renaissance Period in Italy and northern Europe.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Prerequisites, ARTH 2583 and ARTH 2593 or permission of instructor.</w:t>
          </w:r>
          <w:proofErr w:type="gramEnd"/>
          <w:r>
            <w:rPr>
              <w:rStyle w:val="A1"/>
            </w:rPr>
            <w:t xml:space="preserve"> This course is dual listed ARTH 5533. Fall, odd. </w:t>
          </w:r>
        </w:p>
        <w:p w:rsidR="00B4186A" w:rsidRDefault="00B4186A">
          <w:pPr>
            <w:pStyle w:val="Pa396"/>
            <w:spacing w:after="140"/>
            <w:ind w:left="360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4553. Medieval Art History </w:t>
          </w:r>
          <w:r>
            <w:rPr>
              <w:rStyle w:val="A1"/>
            </w:rPr>
            <w:t xml:space="preserve">Formation and development of art from the early Christian through the Gothic period. </w:t>
          </w:r>
          <w:proofErr w:type="gramStart"/>
          <w:r>
            <w:rPr>
              <w:rStyle w:val="A1"/>
            </w:rPr>
            <w:t>Prerequisites, ARTH 2583 and ARTH 2593 or permission of instruc</w:t>
          </w:r>
          <w:r>
            <w:rPr>
              <w:rStyle w:val="A1"/>
            </w:rPr>
            <w:softHyphen/>
            <w:t>tor.</w:t>
          </w:r>
          <w:proofErr w:type="gramEnd"/>
          <w:r>
            <w:rPr>
              <w:rStyle w:val="A1"/>
            </w:rPr>
            <w:t xml:space="preserve"> This course is dual listed ARTH 5553. Spring, odd. </w:t>
          </w:r>
        </w:p>
        <w:p w:rsidR="00B4186A" w:rsidRDefault="00B4186A">
          <w:pPr>
            <w:pStyle w:val="Pa396"/>
            <w:spacing w:after="140"/>
            <w:ind w:left="360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4563. Baroque and Rococo Art </w:t>
          </w:r>
          <w:r>
            <w:rPr>
              <w:rStyle w:val="A1"/>
            </w:rPr>
            <w:t xml:space="preserve">Artists, styles, and developments of Baroque and Rococo Art immediately following the Renaissance. </w:t>
          </w:r>
          <w:proofErr w:type="gramStart"/>
          <w:r>
            <w:rPr>
              <w:rStyle w:val="A1"/>
            </w:rPr>
            <w:t>Prerequisites, ARTH 2583 and ARTH 2593 or permission of instructor.</w:t>
          </w:r>
          <w:proofErr w:type="gramEnd"/>
          <w:r>
            <w:rPr>
              <w:rStyle w:val="A1"/>
            </w:rPr>
            <w:t xml:space="preserve"> This course is dual listed ARTH 5563. Fall, odd. </w:t>
          </w:r>
        </w:p>
        <w:p w:rsidR="00B4186A" w:rsidRDefault="00B4186A">
          <w:pPr>
            <w:pStyle w:val="Pa396"/>
            <w:spacing w:after="140"/>
            <w:ind w:left="360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4573. History of Graphic Design </w:t>
          </w:r>
          <w:r>
            <w:rPr>
              <w:rStyle w:val="A1"/>
            </w:rPr>
            <w:t>A historical overview of visual communication from the origins of printing and typography, through the impact of industrial technology, to the devel</w:t>
          </w:r>
          <w:r>
            <w:rPr>
              <w:rStyle w:val="A1"/>
            </w:rPr>
            <w:softHyphen/>
            <w:t xml:space="preserve">opment of modern graphic design. </w:t>
          </w:r>
          <w:proofErr w:type="gramStart"/>
          <w:r>
            <w:rPr>
              <w:rStyle w:val="A1"/>
            </w:rPr>
            <w:t>Prerequisites, ARTH 2583 and ARTH 2593 or permission of instructor.</w:t>
          </w:r>
          <w:proofErr w:type="gramEnd"/>
          <w:r>
            <w:rPr>
              <w:rStyle w:val="A1"/>
            </w:rPr>
            <w:t xml:space="preserve"> This course is dual listed ARTH 5573. Spring, odd. </w:t>
          </w:r>
        </w:p>
        <w:p w:rsidR="00B4186A" w:rsidRDefault="00B4186A">
          <w:pPr>
            <w:pStyle w:val="Pa396"/>
            <w:spacing w:after="140"/>
            <w:ind w:left="360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4583. Non-Western Art History </w:t>
          </w:r>
          <w:r>
            <w:rPr>
              <w:rStyle w:val="A1"/>
            </w:rPr>
            <w:t>Introduction to the visual arts and cultures of non European peoples. Specific focus will vary depending upon student interest and instructor exper</w:t>
          </w:r>
          <w:r>
            <w:rPr>
              <w:rStyle w:val="A1"/>
            </w:rPr>
            <w:softHyphen/>
            <w:t xml:space="preserve">tise. </w:t>
          </w:r>
          <w:proofErr w:type="gramStart"/>
          <w:r>
            <w:rPr>
              <w:rStyle w:val="A1"/>
            </w:rPr>
            <w:t>Prerequisites, ARTH 2583 and ARTH 2593 or permission of instructors.</w:t>
          </w:r>
          <w:proofErr w:type="gramEnd"/>
          <w:r>
            <w:rPr>
              <w:rStyle w:val="A1"/>
            </w:rPr>
            <w:t xml:space="preserve"> This course is dual listed ARTH 5583. Fall, even. </w:t>
          </w:r>
        </w:p>
        <w:p w:rsidR="00B4186A" w:rsidRDefault="00B4186A">
          <w:pPr>
            <w:pStyle w:val="Pa396"/>
            <w:spacing w:after="140"/>
            <w:ind w:left="360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4593. Greek Art and Architecture </w:t>
          </w:r>
          <w:r>
            <w:rPr>
              <w:rStyle w:val="A1"/>
            </w:rPr>
            <w:t xml:space="preserve">A survey of Greek Art and Architecture from the early Classical through Hellenistic periods. </w:t>
          </w:r>
          <w:proofErr w:type="gramStart"/>
          <w:r>
            <w:rPr>
              <w:rStyle w:val="A1"/>
            </w:rPr>
            <w:t>Prerequisites, ARTH 2583 and ARTH 2593 or permis</w:t>
          </w:r>
          <w:r>
            <w:rPr>
              <w:rStyle w:val="A1"/>
            </w:rPr>
            <w:softHyphen/>
            <w:t xml:space="preserve">sion of </w:t>
          </w:r>
          <w:r w:rsidRPr="00B4186A">
            <w:rPr>
              <w:rStyle w:val="A1"/>
              <w:vertAlign w:val="subscript"/>
            </w:rPr>
            <w:t>instructor</w:t>
          </w:r>
          <w:r>
            <w:rPr>
              <w:rStyle w:val="A1"/>
            </w:rPr>
            <w:t>.</w:t>
          </w:r>
          <w:proofErr w:type="gramEnd"/>
          <w:r>
            <w:rPr>
              <w:rStyle w:val="A1"/>
            </w:rPr>
            <w:t xml:space="preserve"> This course is dual listed ARTH 5593. Fall even. </w:t>
          </w:r>
        </w:p>
        <w:p w:rsidR="00B4186A" w:rsidRDefault="00B4186A">
          <w:pPr>
            <w:pStyle w:val="Pa396"/>
            <w:spacing w:after="140"/>
            <w:ind w:left="360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4603. Art of the 20th Century </w:t>
          </w:r>
          <w:r>
            <w:rPr>
              <w:rStyle w:val="A1"/>
            </w:rPr>
            <w:t xml:space="preserve">This course examines major artists and works of art in Western culture from the beginning of the twentieth century to the present day. </w:t>
          </w:r>
          <w:proofErr w:type="gramStart"/>
          <w:r>
            <w:rPr>
              <w:rStyle w:val="A1"/>
            </w:rPr>
            <w:t>Prerequisites, ARTH 2583 and ARTH 2593 or permission of instructor.</w:t>
          </w:r>
          <w:proofErr w:type="gramEnd"/>
          <w:r>
            <w:rPr>
              <w:rStyle w:val="A1"/>
            </w:rPr>
            <w:t xml:space="preserve"> This course is dual listed ARTH 5603. Spring, odd. </w:t>
          </w:r>
        </w:p>
        <w:p w:rsidR="00B4186A" w:rsidRDefault="00B4186A">
          <w:pPr>
            <w:pStyle w:val="Pa396"/>
            <w:spacing w:after="140"/>
            <w:ind w:left="360" w:hanging="36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ARTH 4611. Senior Thesis </w:t>
          </w:r>
          <w:r>
            <w:rPr>
              <w:rStyle w:val="A1"/>
            </w:rPr>
            <w:t xml:space="preserve">Provide students the opportunity to research and write an art historical essay that proves an original thesis; required of all BA in Art, Art History emphasis students; to be completed in the final semester. Permission of instructor required; 2.75 GPA in all ART/ARED/ARTH courses. Fall and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:rsidR="009953CE" w:rsidRDefault="00B4186A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r>
            <w:rPr>
              <w:rStyle w:val="A1"/>
              <w:b/>
              <w:bCs/>
            </w:rPr>
            <w:t xml:space="preserve">ARTH 4613. American Art History </w:t>
          </w:r>
          <w:r>
            <w:rPr>
              <w:rStyle w:val="A1"/>
            </w:rPr>
            <w:t>This survey of American Art from colonial times to the pres</w:t>
          </w:r>
          <w:r>
            <w:rPr>
              <w:rStyle w:val="A1"/>
            </w:rPr>
            <w:softHyphen/>
            <w:t xml:space="preserve">ent examines major artistic and cultural developments in the United States, within the context of American history, and against the backdrop of European activity. </w:t>
          </w:r>
          <w:proofErr w:type="gramStart"/>
          <w:r>
            <w:rPr>
              <w:rStyle w:val="A1"/>
            </w:rPr>
            <w:t>Prerequisites, ARTH 2583 and ARTH 2593 or permission of instructor.</w:t>
          </w:r>
          <w:proofErr w:type="gramEnd"/>
          <w:r>
            <w:rPr>
              <w:rStyle w:val="A1"/>
            </w:rPr>
            <w:t xml:space="preserve"> This course is dual listed ARTH 5613. Fall, odd.</w:t>
          </w:r>
        </w:p>
        <w:p w:rsidR="009953CE" w:rsidRDefault="009953CE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</w:p>
        <w:p w:rsidR="009953CE" w:rsidRDefault="009953CE">
          <w:pPr>
            <w:rPr>
              <w:rStyle w:val="A1"/>
            </w:rPr>
          </w:pPr>
          <w:r>
            <w:rPr>
              <w:rStyle w:val="A1"/>
            </w:rPr>
            <w:br w:type="page"/>
          </w:r>
        </w:p>
        <w:p w:rsidR="009953CE" w:rsidRPr="009953CE" w:rsidRDefault="009953CE" w:rsidP="00995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9953CE">
            <w:rPr>
              <w:rFonts w:asciiTheme="majorHAnsi" w:hAnsiTheme="majorHAnsi" w:cs="Arial"/>
              <w:b/>
              <w:sz w:val="20"/>
              <w:szCs w:val="20"/>
            </w:rPr>
            <w:lastRenderedPageBreak/>
            <w:t>2012-2013 ASU – J Undergraduate Bulletin, Page 459</w:t>
          </w:r>
        </w:p>
        <w:p w:rsidR="009953CE" w:rsidRDefault="009953CE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4"/>
            </w:rPr>
          </w:pPr>
        </w:p>
        <w:p w:rsidR="009953CE" w:rsidRDefault="009953CE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…</w:t>
          </w:r>
        </w:p>
        <w:p w:rsidR="009953CE" w:rsidRPr="009953CE" w:rsidRDefault="009953CE" w:rsidP="009953CE">
          <w:pPr>
            <w:widowControl w:val="0"/>
            <w:autoSpaceDE w:val="0"/>
            <w:autoSpaceDN w:val="0"/>
            <w:adjustRightInd w:val="0"/>
            <w:spacing w:after="80" w:line="441" w:lineRule="atLeast"/>
            <w:jc w:val="center"/>
            <w:rPr>
              <w:rFonts w:ascii="Myriad Pro Cond" w:hAnsi="Myriad Pro Cond" w:cs="Myriad Pro Cond"/>
              <w:color w:val="000000"/>
              <w:sz w:val="26"/>
              <w:szCs w:val="26"/>
            </w:rPr>
          </w:pPr>
          <w:r w:rsidRPr="009953CE">
            <w:rPr>
              <w:rFonts w:ascii="Myriad Pro Cond" w:hAnsi="Myriad Pro Cond" w:cs="Myriad Pro Cond"/>
              <w:b/>
              <w:bCs/>
              <w:color w:val="000000"/>
              <w:sz w:val="26"/>
              <w:szCs w:val="26"/>
            </w:rPr>
            <w:t xml:space="preserve">Minor in Art History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108"/>
            <w:gridCol w:w="2108"/>
          </w:tblGrid>
          <w:tr w:rsidR="009953CE" w:rsidRPr="009953CE">
            <w:trPr>
              <w:trHeight w:val="395"/>
            </w:trPr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40" w:line="24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9953C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Required Courses: </w:t>
                </w:r>
              </w:p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20" w:line="24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Grade of “C” or better required for all ART/ARTH Minor Re</w:t>
                </w: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softHyphen/>
                  <w:t xml:space="preserve">quirements (Department of Art minimum) </w:t>
                </w:r>
              </w:p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20" w:line="24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Courses used to meet the requirements for the major cannot be used to meet the requirements for the minor. </w:t>
                </w:r>
              </w:p>
            </w:tc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4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9953CE" w:rsidRPr="009953CE">
            <w:trPr>
              <w:trHeight w:val="79"/>
            </w:trPr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ART</w:t>
                </w:r>
                <w:r w:rsidR="00253353" w:rsidRPr="00253353"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H</w:t>
                </w: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2583, Survey of Art History I </w:t>
                </w:r>
              </w:p>
            </w:tc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9953CE" w:rsidRPr="009953CE">
            <w:trPr>
              <w:trHeight w:val="79"/>
            </w:trPr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ART</w:t>
                </w:r>
                <w:r w:rsidR="00253353" w:rsidRPr="00253353"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H</w:t>
                </w: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2593, Survey of Art History II </w:t>
                </w:r>
              </w:p>
            </w:tc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9953CE" w:rsidRPr="009953CE">
            <w:trPr>
              <w:trHeight w:val="79"/>
            </w:trPr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Upper-level electives in Art History </w:t>
                </w:r>
              </w:p>
            </w:tc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12 </w:t>
                </w:r>
              </w:p>
            </w:tc>
          </w:tr>
          <w:tr w:rsidR="009953CE" w:rsidRPr="009953CE">
            <w:trPr>
              <w:trHeight w:val="111"/>
            </w:trPr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9953C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9953C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18 </w:t>
                </w:r>
              </w:p>
            </w:tc>
          </w:tr>
        </w:tbl>
        <w:p w:rsidR="009953CE" w:rsidRDefault="009953CE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9953CE" w:rsidRPr="009953CE" w:rsidRDefault="009953CE" w:rsidP="009953CE">
          <w:pPr>
            <w:widowControl w:val="0"/>
            <w:autoSpaceDE w:val="0"/>
            <w:autoSpaceDN w:val="0"/>
            <w:adjustRightInd w:val="0"/>
            <w:spacing w:after="80" w:line="441" w:lineRule="atLeast"/>
            <w:jc w:val="center"/>
            <w:rPr>
              <w:rFonts w:ascii="Myriad Pro Cond" w:hAnsi="Myriad Pro Cond" w:cs="Myriad Pro Cond"/>
              <w:color w:val="000000"/>
              <w:sz w:val="26"/>
              <w:szCs w:val="26"/>
            </w:rPr>
          </w:pPr>
          <w:r w:rsidRPr="009953CE">
            <w:rPr>
              <w:rFonts w:ascii="Myriad Pro Cond" w:hAnsi="Myriad Pro Cond" w:cs="Myriad Pro Cond"/>
              <w:b/>
              <w:bCs/>
              <w:color w:val="000000"/>
              <w:sz w:val="26"/>
              <w:szCs w:val="26"/>
            </w:rPr>
            <w:t xml:space="preserve">Minor in Graphic Design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108"/>
            <w:gridCol w:w="2108"/>
          </w:tblGrid>
          <w:tr w:rsidR="009953CE" w:rsidRPr="009953CE">
            <w:trPr>
              <w:trHeight w:val="395"/>
            </w:trPr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40" w:line="24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9953C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Required Courses: </w:t>
                </w:r>
              </w:p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20" w:line="24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Grade of “C” or better required for all ART/ARTH Minor Re</w:t>
                </w: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softHyphen/>
                  <w:t xml:space="preserve">quirements (Department of Art minimum) </w:t>
                </w:r>
              </w:p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20" w:line="24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Courses used to meet the requirements for the major cannot be used to meet the requirements for the minor. </w:t>
                </w:r>
              </w:p>
            </w:tc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4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9953CE" w:rsidRPr="009953CE">
            <w:trPr>
              <w:trHeight w:val="79"/>
            </w:trPr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ART 1013, Design I </w:t>
                </w:r>
              </w:p>
            </w:tc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9953CE" w:rsidRPr="009953CE">
            <w:trPr>
              <w:trHeight w:val="79"/>
            </w:trPr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ART 1033, Drawing I </w:t>
                </w:r>
              </w:p>
            </w:tc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9953CE" w:rsidRPr="009953CE">
            <w:trPr>
              <w:trHeight w:val="79"/>
            </w:trPr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ART 2413, Typography </w:t>
                </w:r>
              </w:p>
            </w:tc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9953CE" w:rsidRPr="009953CE">
            <w:trPr>
              <w:trHeight w:val="79"/>
            </w:trPr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ART 2423, </w:t>
                </w:r>
                <w:r w:rsidRPr="00253353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Graphic Design II</w:t>
                </w: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</w:t>
                </w:r>
                <w:r w:rsidR="00253353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 </w:t>
                </w:r>
                <w:r w:rsidR="00253353" w:rsidRPr="00253353"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Print an Publication Design</w:t>
                </w:r>
              </w:p>
            </w:tc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9953CE" w:rsidRPr="009953CE">
            <w:trPr>
              <w:trHeight w:val="79"/>
            </w:trPr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Upper-level electives in Graphic Design </w:t>
                </w:r>
              </w:p>
            </w:tc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9953CE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9 </w:t>
                </w:r>
              </w:p>
            </w:tc>
          </w:tr>
          <w:tr w:rsidR="009953CE" w:rsidRPr="009953CE">
            <w:trPr>
              <w:trHeight w:val="111"/>
            </w:trPr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9953C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2108" w:type="dxa"/>
              </w:tcPr>
              <w:p w:rsidR="009953CE" w:rsidRPr="009953CE" w:rsidRDefault="009953CE" w:rsidP="009953CE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9953CE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21</w:t>
                </w:r>
              </w:p>
            </w:tc>
          </w:tr>
        </w:tbl>
        <w:p w:rsidR="009953CE" w:rsidRDefault="009953CE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E5007" w:rsidRDefault="002C2F69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425556073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53" w:rsidRDefault="00253353" w:rsidP="00AF3758">
      <w:pPr>
        <w:spacing w:after="0" w:line="240" w:lineRule="auto"/>
      </w:pPr>
      <w:r>
        <w:separator/>
      </w:r>
    </w:p>
  </w:endnote>
  <w:endnote w:type="continuationSeparator" w:id="0">
    <w:p w:rsidR="00253353" w:rsidRDefault="0025335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53" w:rsidRDefault="002533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53" w:rsidRDefault="002533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53" w:rsidRDefault="00253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53" w:rsidRDefault="00253353" w:rsidP="00AF3758">
      <w:pPr>
        <w:spacing w:after="0" w:line="240" w:lineRule="auto"/>
      </w:pPr>
      <w:r>
        <w:separator/>
      </w:r>
    </w:p>
  </w:footnote>
  <w:footnote w:type="continuationSeparator" w:id="0">
    <w:p w:rsidR="00253353" w:rsidRDefault="0025335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53" w:rsidRDefault="002533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53" w:rsidRPr="00986BD2" w:rsidRDefault="00253353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253353" w:rsidRDefault="002533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53" w:rsidRDefault="002533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3353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953CE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B7CA1"/>
    <w:rsid w:val="00AF3758"/>
    <w:rsid w:val="00AF3C6A"/>
    <w:rsid w:val="00B1628A"/>
    <w:rsid w:val="00B35368"/>
    <w:rsid w:val="00B4186A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207AC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80">
    <w:name w:val="Pa380"/>
    <w:basedOn w:val="Normal"/>
    <w:next w:val="Normal"/>
    <w:uiPriority w:val="99"/>
    <w:rsid w:val="00B4186A"/>
    <w:pPr>
      <w:widowControl w:val="0"/>
      <w:autoSpaceDE w:val="0"/>
      <w:autoSpaceDN w:val="0"/>
      <w:adjustRightInd w:val="0"/>
      <w:spacing w:after="0" w:line="241" w:lineRule="atLeast"/>
    </w:pPr>
    <w:rPr>
      <w:rFonts w:ascii="Book Antiqua" w:hAnsi="Book Antiqua" w:cs="Times New Roman"/>
      <w:sz w:val="24"/>
      <w:szCs w:val="24"/>
    </w:rPr>
  </w:style>
  <w:style w:type="paragraph" w:customStyle="1" w:styleId="Pa381">
    <w:name w:val="Pa381"/>
    <w:basedOn w:val="Normal"/>
    <w:next w:val="Normal"/>
    <w:uiPriority w:val="99"/>
    <w:rsid w:val="00B4186A"/>
    <w:pPr>
      <w:widowControl w:val="0"/>
      <w:autoSpaceDE w:val="0"/>
      <w:autoSpaceDN w:val="0"/>
      <w:adjustRightInd w:val="0"/>
      <w:spacing w:after="0" w:line="241" w:lineRule="atLeast"/>
    </w:pPr>
    <w:rPr>
      <w:rFonts w:ascii="Book Antiqua" w:hAnsi="Book Antiqua" w:cs="Times New Roman"/>
      <w:sz w:val="24"/>
      <w:szCs w:val="24"/>
    </w:rPr>
  </w:style>
  <w:style w:type="character" w:customStyle="1" w:styleId="A1">
    <w:name w:val="A1"/>
    <w:uiPriority w:val="99"/>
    <w:rsid w:val="00B4186A"/>
    <w:rPr>
      <w:rFonts w:ascii="Arial" w:hAnsi="Arial" w:cs="Arial"/>
      <w:color w:val="000000"/>
      <w:sz w:val="16"/>
      <w:szCs w:val="16"/>
    </w:rPr>
  </w:style>
  <w:style w:type="paragraph" w:customStyle="1" w:styleId="Pa396">
    <w:name w:val="Pa396"/>
    <w:basedOn w:val="Normal"/>
    <w:next w:val="Normal"/>
    <w:uiPriority w:val="99"/>
    <w:rsid w:val="00B4186A"/>
    <w:pPr>
      <w:widowControl w:val="0"/>
      <w:autoSpaceDE w:val="0"/>
      <w:autoSpaceDN w:val="0"/>
      <w:adjustRightInd w:val="0"/>
      <w:spacing w:after="0" w:line="241" w:lineRule="atLeast"/>
    </w:pPr>
    <w:rPr>
      <w:rFonts w:ascii="Book Antiqua" w:hAnsi="Book Antiqua" w:cs="Times New Roman"/>
      <w:sz w:val="24"/>
      <w:szCs w:val="24"/>
    </w:rPr>
  </w:style>
  <w:style w:type="character" w:customStyle="1" w:styleId="A14">
    <w:name w:val="A14"/>
    <w:uiPriority w:val="99"/>
    <w:rsid w:val="009953CE"/>
    <w:rPr>
      <w:rFonts w:cs="Myriad Pro Cond"/>
      <w:b/>
      <w:bCs/>
      <w:color w:val="000000"/>
      <w:sz w:val="32"/>
      <w:szCs w:val="32"/>
    </w:rPr>
  </w:style>
  <w:style w:type="paragraph" w:customStyle="1" w:styleId="Pa228">
    <w:name w:val="Pa228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44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6">
    <w:name w:val="A16"/>
    <w:uiPriority w:val="99"/>
    <w:rsid w:val="009953CE"/>
    <w:rPr>
      <w:rFonts w:cs="Myriad Pro Cond"/>
      <w:b/>
      <w:bCs/>
      <w:color w:val="000000"/>
      <w:sz w:val="26"/>
      <w:szCs w:val="26"/>
    </w:rPr>
  </w:style>
  <w:style w:type="paragraph" w:customStyle="1" w:styleId="Pa8">
    <w:name w:val="Pa8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24">
    <w:name w:val="Pa224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5">
    <w:name w:val="A15"/>
    <w:uiPriority w:val="99"/>
    <w:rsid w:val="009953CE"/>
    <w:rPr>
      <w:rFonts w:ascii="Arial" w:hAnsi="Arial" w:cs="Arial"/>
      <w:color w:val="000000"/>
      <w:sz w:val="12"/>
      <w:szCs w:val="12"/>
    </w:rPr>
  </w:style>
  <w:style w:type="paragraph" w:customStyle="1" w:styleId="Pa55">
    <w:name w:val="Pa55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80">
    <w:name w:val="Pa380"/>
    <w:basedOn w:val="Normal"/>
    <w:next w:val="Normal"/>
    <w:uiPriority w:val="99"/>
    <w:rsid w:val="00B4186A"/>
    <w:pPr>
      <w:widowControl w:val="0"/>
      <w:autoSpaceDE w:val="0"/>
      <w:autoSpaceDN w:val="0"/>
      <w:adjustRightInd w:val="0"/>
      <w:spacing w:after="0" w:line="241" w:lineRule="atLeast"/>
    </w:pPr>
    <w:rPr>
      <w:rFonts w:ascii="Book Antiqua" w:hAnsi="Book Antiqua" w:cs="Times New Roman"/>
      <w:sz w:val="24"/>
      <w:szCs w:val="24"/>
    </w:rPr>
  </w:style>
  <w:style w:type="paragraph" w:customStyle="1" w:styleId="Pa381">
    <w:name w:val="Pa381"/>
    <w:basedOn w:val="Normal"/>
    <w:next w:val="Normal"/>
    <w:uiPriority w:val="99"/>
    <w:rsid w:val="00B4186A"/>
    <w:pPr>
      <w:widowControl w:val="0"/>
      <w:autoSpaceDE w:val="0"/>
      <w:autoSpaceDN w:val="0"/>
      <w:adjustRightInd w:val="0"/>
      <w:spacing w:after="0" w:line="241" w:lineRule="atLeast"/>
    </w:pPr>
    <w:rPr>
      <w:rFonts w:ascii="Book Antiqua" w:hAnsi="Book Antiqua" w:cs="Times New Roman"/>
      <w:sz w:val="24"/>
      <w:szCs w:val="24"/>
    </w:rPr>
  </w:style>
  <w:style w:type="character" w:customStyle="1" w:styleId="A1">
    <w:name w:val="A1"/>
    <w:uiPriority w:val="99"/>
    <w:rsid w:val="00B4186A"/>
    <w:rPr>
      <w:rFonts w:ascii="Arial" w:hAnsi="Arial" w:cs="Arial"/>
      <w:color w:val="000000"/>
      <w:sz w:val="16"/>
      <w:szCs w:val="16"/>
    </w:rPr>
  </w:style>
  <w:style w:type="paragraph" w:customStyle="1" w:styleId="Pa396">
    <w:name w:val="Pa396"/>
    <w:basedOn w:val="Normal"/>
    <w:next w:val="Normal"/>
    <w:uiPriority w:val="99"/>
    <w:rsid w:val="00B4186A"/>
    <w:pPr>
      <w:widowControl w:val="0"/>
      <w:autoSpaceDE w:val="0"/>
      <w:autoSpaceDN w:val="0"/>
      <w:adjustRightInd w:val="0"/>
      <w:spacing w:after="0" w:line="241" w:lineRule="atLeast"/>
    </w:pPr>
    <w:rPr>
      <w:rFonts w:ascii="Book Antiqua" w:hAnsi="Book Antiqua" w:cs="Times New Roman"/>
      <w:sz w:val="24"/>
      <w:szCs w:val="24"/>
    </w:rPr>
  </w:style>
  <w:style w:type="character" w:customStyle="1" w:styleId="A14">
    <w:name w:val="A14"/>
    <w:uiPriority w:val="99"/>
    <w:rsid w:val="009953CE"/>
    <w:rPr>
      <w:rFonts w:cs="Myriad Pro Cond"/>
      <w:b/>
      <w:bCs/>
      <w:color w:val="000000"/>
      <w:sz w:val="32"/>
      <w:szCs w:val="32"/>
    </w:rPr>
  </w:style>
  <w:style w:type="paragraph" w:customStyle="1" w:styleId="Pa228">
    <w:name w:val="Pa228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44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6">
    <w:name w:val="A16"/>
    <w:uiPriority w:val="99"/>
    <w:rsid w:val="009953CE"/>
    <w:rPr>
      <w:rFonts w:cs="Myriad Pro Cond"/>
      <w:b/>
      <w:bCs/>
      <w:color w:val="000000"/>
      <w:sz w:val="26"/>
      <w:szCs w:val="26"/>
    </w:rPr>
  </w:style>
  <w:style w:type="paragraph" w:customStyle="1" w:styleId="Pa8">
    <w:name w:val="Pa8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24">
    <w:name w:val="Pa224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character" w:customStyle="1" w:styleId="A15">
    <w:name w:val="A15"/>
    <w:uiPriority w:val="99"/>
    <w:rsid w:val="009953CE"/>
    <w:rPr>
      <w:rFonts w:ascii="Arial" w:hAnsi="Arial" w:cs="Arial"/>
      <w:color w:val="000000"/>
      <w:sz w:val="12"/>
      <w:szCs w:val="12"/>
    </w:rPr>
  </w:style>
  <w:style w:type="paragraph" w:customStyle="1" w:styleId="Pa55">
    <w:name w:val="Pa55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9953CE"/>
    <w:pPr>
      <w:widowControl w:val="0"/>
      <w:autoSpaceDE w:val="0"/>
      <w:autoSpaceDN w:val="0"/>
      <w:adjustRightInd w:val="0"/>
      <w:spacing w:after="0" w:line="241" w:lineRule="atLeast"/>
    </w:pPr>
    <w:rPr>
      <w:rFonts w:ascii="Myriad Pro Cond" w:hAnsi="Myriad Pro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39B17FCDD714761948F1B9C8324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EA08B-997C-4AD8-9AEF-EC3C7DA0FD7B}"/>
      </w:docPartPr>
      <w:docPartBody>
        <w:p w:rsidR="00CD4EF8" w:rsidRDefault="000D3E26" w:rsidP="000D3E26">
          <w:pPr>
            <w:pStyle w:val="939B17FCDD714761948F1B9C8324B72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6553D03AD9449EFAAB67569BB36F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3CE1-487E-43ED-B6AF-EF22475DCE02}"/>
      </w:docPartPr>
      <w:docPartBody>
        <w:p w:rsidR="00C16165" w:rsidRDefault="00636142" w:rsidP="00636142">
          <w:pPr>
            <w:pStyle w:val="36553D03AD9449EFAAB67569BB36FD4A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30883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6393</Characters>
  <Application>Microsoft Office Word</Application>
  <DocSecurity>8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2013-04-12T15:40:00Z</dcterms:created>
  <dcterms:modified xsi:type="dcterms:W3CDTF">2013-04-12T15:40:00Z</dcterms:modified>
</cp:coreProperties>
</file>